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48" w:rsidRPr="00E428CF" w:rsidRDefault="00D97B48">
      <w:pPr>
        <w:pStyle w:val="ConsPlusTitle"/>
        <w:jc w:val="center"/>
        <w:outlineLvl w:val="0"/>
        <w:rPr>
          <w:rFonts w:ascii="Times New Roman" w:hAnsi="Times New Roman" w:cs="Times New Roman"/>
          <w:sz w:val="24"/>
          <w:szCs w:val="24"/>
        </w:rPr>
      </w:pPr>
      <w:bookmarkStart w:id="0" w:name="_GoBack"/>
      <w:r w:rsidRPr="00E428CF">
        <w:rPr>
          <w:rFonts w:ascii="Times New Roman" w:hAnsi="Times New Roman" w:cs="Times New Roman"/>
          <w:sz w:val="24"/>
          <w:szCs w:val="24"/>
        </w:rPr>
        <w:t>МИНИСТЕРСТВО ТРУДА И СОЦИАЛЬНОЙ ЗАЩИТЫ РОССИЙСКОЙ ФЕДЕРАЦИИ</w:t>
      </w:r>
    </w:p>
    <w:p w:rsidR="00D97B48" w:rsidRPr="00E428CF" w:rsidRDefault="00D97B48">
      <w:pPr>
        <w:pStyle w:val="ConsPlusTitle"/>
        <w:jc w:val="center"/>
        <w:rPr>
          <w:rFonts w:ascii="Times New Roman" w:hAnsi="Times New Roman" w:cs="Times New Roman"/>
          <w:sz w:val="24"/>
          <w:szCs w:val="24"/>
        </w:rPr>
      </w:pP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ОРГАНАХ ГОСУДАРСТВЕННОЙ ВЛАСТИ СУБЪЕКТОВ РОССИЙСКОЙ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ВНЕБЮДЖЕТНЫХ ФОНДАХ И ИНЫХ ОРГАНИЗАЦИЯХ, ОСУЩЕСТВЛЯЮЩИХ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НА ВЫЯВЛЕНИЕ ЛИЧНОЙ ЗАИНТЕРЕСОВАННОСТИ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ТАКИХ ЗАКУПОК, КОТОРАЯ ПРИВОДИТ ИЛИ МОЖЕТ ПРИВЕСТИ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1" w:name="P48"/>
      <w:bookmarkEnd w:id="1"/>
      <w:r w:rsidRPr="00E428CF">
        <w:rPr>
          <w:rFonts w:ascii="Times New Roman" w:hAnsi="Times New Roman" w:cs="Times New Roman"/>
          <w:sz w:val="24"/>
          <w:szCs w:val="24"/>
        </w:rPr>
        <w:t>2. Организация работы по выявлению личной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Pr="00E428CF">
        <w:rPr>
          <w:rFonts w:ascii="Times New Roman" w:hAnsi="Times New Roman" w:cs="Times New Roman"/>
          <w:sz w:val="24"/>
          <w:szCs w:val="24"/>
        </w:rPr>
        <w:lastRenderedPageBreak/>
        <w:t>органа (организации) и (или) уполномоченным им лицом.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97B48" w:rsidRPr="00E428CF" w:rsidRDefault="00D97B48">
      <w:pPr>
        <w:pStyle w:val="ConsPlusNormal"/>
        <w:spacing w:before="220"/>
        <w:ind w:firstLine="540"/>
        <w:jc w:val="both"/>
        <w:rPr>
          <w:rFonts w:ascii="Times New Roman" w:hAnsi="Times New Roman" w:cs="Times New Roman"/>
          <w:sz w:val="24"/>
          <w:szCs w:val="24"/>
        </w:rPr>
      </w:pPr>
      <w:bookmarkStart w:id="2" w:name="P57"/>
      <w:bookmarkEnd w:id="2"/>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w:t>
      </w:r>
      <w:r w:rsidRPr="00E428CF">
        <w:rPr>
          <w:rFonts w:ascii="Times New Roman" w:hAnsi="Times New Roman" w:cs="Times New Roman"/>
          <w:sz w:val="24"/>
          <w:szCs w:val="24"/>
        </w:rPr>
        <w:lastRenderedPageBreak/>
        <w:t>закупки. К таким служащим (работникам) относятся следующие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руководитель заказчика;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3.5. Типовые ситуации содержатся в Обзорах практики </w:t>
      </w:r>
      <w:proofErr w:type="spellStart"/>
      <w:r w:rsidRPr="00E428CF">
        <w:rPr>
          <w:rFonts w:ascii="Times New Roman" w:hAnsi="Times New Roman" w:cs="Times New Roman"/>
          <w:sz w:val="24"/>
          <w:szCs w:val="24"/>
        </w:rPr>
        <w:t>правоприменения</w:t>
      </w:r>
      <w:proofErr w:type="spellEnd"/>
      <w:r w:rsidRPr="00E428CF">
        <w:rPr>
          <w:rFonts w:ascii="Times New Roman" w:hAnsi="Times New Roman" w:cs="Times New Roman"/>
          <w:sz w:val="24"/>
          <w:szCs w:val="24"/>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К типовым ситуациям, применимым непосредственно для целей закупок, могут относиться следующие: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3" w:name="P96"/>
      <w:bookmarkEnd w:id="3"/>
      <w:r w:rsidRPr="00E428CF">
        <w:rPr>
          <w:rFonts w:ascii="Times New Roman" w:hAnsi="Times New Roman" w:cs="Times New Roman"/>
          <w:sz w:val="24"/>
          <w:szCs w:val="24"/>
        </w:rPr>
        <w:t>4. Аналитические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bookmarkStart w:id="4" w:name="P98"/>
      <w:bookmarkEnd w:id="4"/>
      <w:r w:rsidRPr="00E428CF">
        <w:rPr>
          <w:rFonts w:ascii="Times New Roman" w:hAnsi="Times New Roman" w:cs="Times New Roman"/>
          <w:sz w:val="24"/>
          <w:szCs w:val="24"/>
        </w:rPr>
        <w:t xml:space="preserve">4.1. Аналитическую работу целесообразно выстраивать исходя из фактических </w:t>
      </w:r>
      <w:r w:rsidRPr="00E428CF">
        <w:rPr>
          <w:rFonts w:ascii="Times New Roman" w:hAnsi="Times New Roman" w:cs="Times New Roman"/>
          <w:sz w:val="24"/>
          <w:szCs w:val="24"/>
        </w:rPr>
        <w:lastRenderedPageBreak/>
        <w:t>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rsidRPr="00E428CF">
        <w:rPr>
          <w:rFonts w:ascii="Times New Roman" w:hAnsi="Times New Roman" w:cs="Times New Roman"/>
          <w:sz w:val="24"/>
          <w:szCs w:val="24"/>
        </w:rPr>
        <w:t>выгодоприобретателем</w:t>
      </w:r>
      <w:proofErr w:type="spellEnd"/>
      <w:r w:rsidRPr="00E428CF">
        <w:rPr>
          <w:rFonts w:ascii="Times New Roman" w:hAnsi="Times New Roman" w:cs="Times New Roman"/>
          <w:sz w:val="24"/>
          <w:szCs w:val="24"/>
        </w:rPr>
        <w:t xml:space="preserve"> - служащим (работником) и представителем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rsidR="00D97B48" w:rsidRPr="00E428CF" w:rsidRDefault="00D97B48">
      <w:pPr>
        <w:pStyle w:val="ConsPlusNormal"/>
        <w:spacing w:before="220"/>
        <w:ind w:firstLine="540"/>
        <w:jc w:val="both"/>
        <w:rPr>
          <w:rFonts w:ascii="Times New Roman" w:hAnsi="Times New Roman" w:cs="Times New Roman"/>
          <w:sz w:val="24"/>
          <w:szCs w:val="24"/>
        </w:rPr>
      </w:pPr>
      <w:bookmarkStart w:id="5" w:name="P105"/>
      <w:bookmarkEnd w:id="5"/>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Анализу в том числе подлежит информация, поступившая в связи с проведенным </w:t>
      </w:r>
      <w:r w:rsidRPr="00E428CF">
        <w:rPr>
          <w:rFonts w:ascii="Times New Roman" w:hAnsi="Times New Roman" w:cs="Times New Roman"/>
          <w:sz w:val="24"/>
          <w:szCs w:val="24"/>
        </w:rPr>
        <w:lastRenderedPageBreak/>
        <w:t xml:space="preserve">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E428CF">
        <w:rPr>
          <w:rFonts w:ascii="Times New Roman" w:hAnsi="Times New Roman" w:cs="Times New Roman"/>
          <w:sz w:val="24"/>
          <w:szCs w:val="24"/>
        </w:rPr>
        <w:t>Росфинмониторинга</w:t>
      </w:r>
      <w:proofErr w:type="spellEnd"/>
      <w:r w:rsidRPr="00E428CF">
        <w:rPr>
          <w:rFonts w:ascii="Times New Roman" w:hAnsi="Times New Roman" w:cs="Times New Roman"/>
          <w:sz w:val="24"/>
          <w:szCs w:val="24"/>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w:t>
      </w:r>
      <w:r w:rsidRPr="00E428CF">
        <w:rPr>
          <w:rFonts w:ascii="Times New Roman" w:hAnsi="Times New Roman" w:cs="Times New Roman"/>
          <w:sz w:val="24"/>
          <w:szCs w:val="24"/>
        </w:rPr>
        <w:lastRenderedPageBreak/>
        <w:t>необходимых консультаций.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 и иную имеющуюся в распоряжении органа (организации) информацию.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Например, информация, содержащаяся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w:t>
      </w:r>
      <w:r w:rsidRPr="00E428CF">
        <w:rPr>
          <w:rFonts w:ascii="Times New Roman" w:hAnsi="Times New Roman" w:cs="Times New Roman"/>
          <w:sz w:val="24"/>
          <w:szCs w:val="24"/>
        </w:rPr>
        <w:lastRenderedPageBreak/>
        <w:t>возможность ознакомиться с информацией об участниках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w:t>
      </w:r>
      <w:r w:rsidRPr="00E428CF">
        <w:rPr>
          <w:rFonts w:ascii="Times New Roman" w:hAnsi="Times New Roman" w:cs="Times New Roman"/>
          <w:sz w:val="24"/>
          <w:szCs w:val="24"/>
        </w:rPr>
        <w:lastRenderedPageBreak/>
        <w:t>иные связанные с данной обязанностью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&lt;4&gt; Под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428CF">
        <w:rPr>
          <w:rFonts w:ascii="Times New Roman" w:hAnsi="Times New Roman" w:cs="Times New Roman"/>
          <w:sz w:val="24"/>
          <w:szCs w:val="24"/>
        </w:rPr>
        <w:t>выгодоприобретателями</w:t>
      </w:r>
      <w:proofErr w:type="spellEnd"/>
      <w:r w:rsidRPr="00E428CF">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8CF">
        <w:rPr>
          <w:rFonts w:ascii="Times New Roman" w:hAnsi="Times New Roman" w:cs="Times New Roman"/>
          <w:sz w:val="24"/>
          <w:szCs w:val="24"/>
        </w:rPr>
        <w:t>неполнородными</w:t>
      </w:r>
      <w:proofErr w:type="spellEnd"/>
      <w:r w:rsidRPr="00E428C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E428CF">
        <w:rPr>
          <w:rFonts w:ascii="Times New Roman" w:hAnsi="Times New Roman" w:cs="Times New Roman"/>
          <w:sz w:val="24"/>
          <w:szCs w:val="24"/>
        </w:rPr>
        <w:t>выгодоприобретателями</w:t>
      </w:r>
      <w:proofErr w:type="spellEnd"/>
      <w:r w:rsidRPr="00E428CF">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w:t>
      </w:r>
      <w:r w:rsidRPr="00E428CF">
        <w:rPr>
          <w:rFonts w:ascii="Times New Roman" w:hAnsi="Times New Roman" w:cs="Times New Roman"/>
          <w:sz w:val="24"/>
          <w:szCs w:val="24"/>
        </w:rPr>
        <w:lastRenderedPageBreak/>
        <w:t>направлены соответствующие запросы или которые допущены для участия в закрытом способе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полученных по результатам аналитической работы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w:t>
      </w:r>
      <w:r w:rsidRPr="00E428CF">
        <w:rPr>
          <w:rFonts w:ascii="Times New Roman" w:hAnsi="Times New Roman" w:cs="Times New Roman"/>
          <w:sz w:val="24"/>
          <w:szCs w:val="24"/>
        </w:rPr>
        <w:lastRenderedPageBreak/>
        <w:t>федеральными законами (далее - проверка). &lt;6&gt;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w:t>
      </w:r>
      <w:r w:rsidRPr="00E428CF">
        <w:rPr>
          <w:rFonts w:ascii="Times New Roman" w:hAnsi="Times New Roman" w:cs="Times New Roman"/>
          <w:sz w:val="24"/>
          <w:szCs w:val="24"/>
        </w:rPr>
        <w:lastRenderedPageBreak/>
        <w:t>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w:t>
      </w:r>
      <w:proofErr w:type="spellStart"/>
      <w:r w:rsidRPr="00E428CF">
        <w:rPr>
          <w:rFonts w:ascii="Times New Roman" w:hAnsi="Times New Roman" w:cs="Times New Roman"/>
          <w:sz w:val="24"/>
          <w:szCs w:val="24"/>
        </w:rPr>
        <w:t>аффилированной</w:t>
      </w:r>
      <w:proofErr w:type="spellEnd"/>
      <w:r w:rsidRPr="00E428CF">
        <w:rPr>
          <w:rFonts w:ascii="Times New Roman" w:hAnsi="Times New Roman" w:cs="Times New Roman"/>
          <w:sz w:val="24"/>
          <w:szCs w:val="24"/>
        </w:rPr>
        <w:t xml:space="preserve"> с таким служащим (работником) организацией).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6" w:name="P212"/>
      <w:bookmarkEnd w:id="6"/>
      <w:r w:rsidRPr="00E428CF">
        <w:rPr>
          <w:rFonts w:ascii="Times New Roman" w:hAnsi="Times New Roman" w:cs="Times New Roman"/>
          <w:sz w:val="24"/>
          <w:szCs w:val="24"/>
        </w:rPr>
        <w:t>5. Особенности построения работы в отдельных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категориях организаций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w:t>
      </w:r>
      <w:r w:rsidRPr="00E428CF">
        <w:rPr>
          <w:rFonts w:ascii="Times New Roman" w:hAnsi="Times New Roman" w:cs="Times New Roman"/>
          <w:sz w:val="24"/>
          <w:szCs w:val="24"/>
        </w:rPr>
        <w:lastRenderedPageBreak/>
        <w:t>приложения к антикоррупционной политике организации &lt;9&gt;, либо в качестве отдельного локального нормативного акта. &lt;10&gt;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5.5. В основу рассматриваемой работы в отдельных категориях организаций могут быть положены следующие принципы: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индивидуальное рассмотрение и оценка </w:t>
      </w:r>
      <w:proofErr w:type="spellStart"/>
      <w:r w:rsidRPr="00E428CF">
        <w:rPr>
          <w:rFonts w:ascii="Times New Roman" w:hAnsi="Times New Roman" w:cs="Times New Roman"/>
          <w:sz w:val="24"/>
          <w:szCs w:val="24"/>
        </w:rPr>
        <w:t>репутационных</w:t>
      </w:r>
      <w:proofErr w:type="spellEnd"/>
      <w:r w:rsidRPr="00E428CF">
        <w:rPr>
          <w:rFonts w:ascii="Times New Roman" w:hAnsi="Times New Roman" w:cs="Times New Roman"/>
          <w:sz w:val="24"/>
          <w:szCs w:val="24"/>
        </w:rPr>
        <w:t xml:space="preserve"> рисков для организации при выявлении личной заинтересованности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97B48" w:rsidRPr="00E428CF" w:rsidRDefault="00D97B48">
      <w:pPr>
        <w:pStyle w:val="ConsPlusNormal"/>
        <w:jc w:val="both"/>
        <w:rPr>
          <w:rFonts w:ascii="Times New Roman" w:hAnsi="Times New Roman" w:cs="Times New Roman"/>
          <w:sz w:val="24"/>
          <w:szCs w:val="24"/>
        </w:rPr>
      </w:pPr>
    </w:p>
    <w:p w:rsidR="00D97B48" w:rsidRDefault="00D97B48">
      <w:pPr>
        <w:pStyle w:val="ConsPlusNormal"/>
        <w:jc w:val="both"/>
        <w:rPr>
          <w:rFonts w:ascii="Times New Roman" w:hAnsi="Times New Roman" w:cs="Times New Roman"/>
          <w:sz w:val="24"/>
          <w:szCs w:val="24"/>
        </w:rPr>
      </w:pPr>
    </w:p>
    <w:p w:rsidR="005D6F80" w:rsidRDefault="005D6F80">
      <w:pPr>
        <w:pStyle w:val="ConsPlusNormal"/>
        <w:jc w:val="both"/>
        <w:rPr>
          <w:rFonts w:ascii="Times New Roman" w:hAnsi="Times New Roman" w:cs="Times New Roman"/>
          <w:sz w:val="24"/>
          <w:szCs w:val="24"/>
        </w:rPr>
      </w:pPr>
    </w:p>
    <w:p w:rsidR="005D6F80" w:rsidRDefault="005D6F80">
      <w:pPr>
        <w:pStyle w:val="ConsPlusNormal"/>
        <w:jc w:val="both"/>
        <w:rPr>
          <w:rFonts w:ascii="Times New Roman" w:hAnsi="Times New Roman" w:cs="Times New Roman"/>
          <w:sz w:val="24"/>
          <w:szCs w:val="24"/>
        </w:rPr>
      </w:pPr>
    </w:p>
    <w:p w:rsidR="005D6F80" w:rsidRDefault="005D6F80">
      <w:pPr>
        <w:pStyle w:val="ConsPlusNormal"/>
        <w:jc w:val="both"/>
        <w:rPr>
          <w:rFonts w:ascii="Times New Roman" w:hAnsi="Times New Roman" w:cs="Times New Roman"/>
          <w:sz w:val="24"/>
          <w:szCs w:val="24"/>
        </w:rPr>
      </w:pPr>
    </w:p>
    <w:p w:rsidR="005D6F80" w:rsidRPr="00E428CF" w:rsidRDefault="005D6F80">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lastRenderedPageBreak/>
        <w:t>Приложение</w:t>
      </w:r>
    </w:p>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89"/>
        <w:gridCol w:w="4195"/>
      </w:tblGrid>
      <w:tr w:rsidR="00D97B48" w:rsidRPr="00E428CF" w:rsidTr="005D6F80">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89"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rsidTr="005D6F80">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89"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rsidTr="005D6F80">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89" w:type="dxa"/>
            <w:tcBorders>
              <w:top w:val="nil"/>
              <w:left w:val="nil"/>
              <w:bottom w:val="nil"/>
              <w:right w:val="nil"/>
            </w:tcBorders>
          </w:tcPr>
          <w:p w:rsidR="00D97B48" w:rsidRPr="00E428CF" w:rsidRDefault="00D97B48" w:rsidP="005D6F80">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w:t>
            </w:r>
            <w:r w:rsidR="005D6F80">
              <w:rPr>
                <w:rFonts w:ascii="Times New Roman" w:hAnsi="Times New Roman" w:cs="Times New Roman"/>
                <w:sz w:val="24"/>
                <w:szCs w:val="24"/>
              </w:rPr>
              <w:t>т</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rsidTr="005D6F80">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684" w:type="dxa"/>
            <w:gridSpan w:val="2"/>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rsidTr="005D6F80">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684" w:type="dxa"/>
            <w:gridSpan w:val="2"/>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jc w:val="center"/>
              <w:rPr>
                <w:rFonts w:ascii="Times New Roman" w:hAnsi="Times New Roman" w:cs="Times New Roman"/>
                <w:sz w:val="24"/>
                <w:szCs w:val="24"/>
              </w:rPr>
            </w:pPr>
            <w:bookmarkStart w:id="7" w:name="P271"/>
            <w:bookmarkEnd w:id="7"/>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tc>
          <w:tcPr>
            <w:tcW w:w="9071"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0"/>
        <w:gridCol w:w="1049"/>
        <w:gridCol w:w="1050"/>
      </w:tblGrid>
      <w:tr w:rsidR="00D97B48" w:rsidRPr="00E428CF">
        <w:tc>
          <w:tcPr>
            <w:tcW w:w="6960" w:type="dxa"/>
            <w:vAlign w:val="center"/>
          </w:tcPr>
          <w:p w:rsidR="00D97B48" w:rsidRPr="00E428CF" w:rsidRDefault="00D97B48">
            <w:pPr>
              <w:pStyle w:val="ConsPlusNormal"/>
              <w:rPr>
                <w:rFonts w:ascii="Times New Roman" w:hAnsi="Times New Roman" w:cs="Times New Roman"/>
                <w:sz w:val="24"/>
                <w:szCs w:val="24"/>
              </w:rPr>
            </w:pPr>
          </w:p>
        </w:tc>
        <w:tc>
          <w:tcPr>
            <w:tcW w:w="1049"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финансовыми инструментами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lastRenderedPageBreak/>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Имеете ли Вы или Ваши родственники какие-либо имущественные обязательства перед какой-либо организацией</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D97B48" w:rsidRPr="00E428CF">
        <w:tc>
          <w:tcPr>
            <w:tcW w:w="9071" w:type="dxa"/>
            <w:tcBorders>
              <w:top w:val="single" w:sz="4" w:space="0" w:color="auto"/>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single" w:sz="4" w:space="0" w:color="auto"/>
              <w:right w:val="single" w:sz="4" w:space="0" w:color="auto"/>
            </w:tcBorders>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bookmarkStart w:id="8" w:name="P337"/>
      <w:bookmarkEnd w:id="8"/>
      <w:r w:rsidRPr="00E428CF">
        <w:rPr>
          <w:rFonts w:ascii="Times New Roman" w:hAnsi="Times New Roman" w:cs="Times New Roman"/>
          <w:sz w:val="24"/>
          <w:szCs w:val="24"/>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D97B48" w:rsidRPr="00E428CF" w:rsidRDefault="00D97B48">
      <w:pPr>
        <w:pStyle w:val="ConsPlusNormal"/>
        <w:spacing w:before="220"/>
        <w:ind w:firstLine="540"/>
        <w:jc w:val="both"/>
        <w:rPr>
          <w:rFonts w:ascii="Times New Roman" w:hAnsi="Times New Roman" w:cs="Times New Roman"/>
          <w:sz w:val="24"/>
          <w:szCs w:val="24"/>
        </w:rPr>
      </w:pPr>
      <w:bookmarkStart w:id="9" w:name="P340"/>
      <w:bookmarkEnd w:id="9"/>
      <w:r w:rsidRPr="00E428CF">
        <w:rPr>
          <w:rFonts w:ascii="Times New Roman" w:hAnsi="Times New Roman" w:cs="Times New Roman"/>
          <w:sz w:val="24"/>
          <w:szCs w:val="24"/>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bookmarkEnd w:id="0"/>
    <w:p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7B48"/>
    <w:rsid w:val="001746D5"/>
    <w:rsid w:val="001C66FE"/>
    <w:rsid w:val="005D6F80"/>
    <w:rsid w:val="005F2284"/>
    <w:rsid w:val="007A4C4F"/>
    <w:rsid w:val="007D4B5D"/>
    <w:rsid w:val="00B621B6"/>
    <w:rsid w:val="00D97B48"/>
    <w:rsid w:val="00E42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8" Type="http://schemas.microsoft.com/office/2007/relationships/stylesWithEffects" Target="stylesWithEffects.xm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9470</Words>
  <Characters>53983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2021-11-23T08:24:00Z</cp:lastPrinted>
  <dcterms:created xsi:type="dcterms:W3CDTF">2021-11-23T11:58:00Z</dcterms:created>
  <dcterms:modified xsi:type="dcterms:W3CDTF">2021-11-23T11:58:00Z</dcterms:modified>
</cp:coreProperties>
</file>